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41BB7" w14:textId="77777777" w:rsidR="00E93D92" w:rsidRPr="00E93D92" w:rsidRDefault="00E93D92" w:rsidP="00E93D92">
      <w:pPr>
        <w:spacing w:line="480" w:lineRule="auto"/>
        <w:rPr>
          <w:rFonts w:ascii="Times New Roman" w:hAnsi="Times New Roman" w:cs="Times New Roman"/>
          <w:b/>
          <w:bCs/>
        </w:rPr>
      </w:pPr>
    </w:p>
    <w:p w14:paraId="7104EC0D" w14:textId="77777777" w:rsidR="00E93D92" w:rsidRPr="00E93D92" w:rsidRDefault="00E93D92" w:rsidP="00E93D92">
      <w:pPr>
        <w:spacing w:line="480" w:lineRule="auto"/>
        <w:rPr>
          <w:rFonts w:ascii="Times New Roman" w:hAnsi="Times New Roman" w:cs="Times New Roman"/>
          <w:b/>
          <w:bCs/>
        </w:rPr>
      </w:pPr>
    </w:p>
    <w:p w14:paraId="17E62B67" w14:textId="77777777" w:rsidR="00E93D92" w:rsidRPr="00E93D92" w:rsidRDefault="00E93D92" w:rsidP="00E93D92">
      <w:pPr>
        <w:spacing w:line="480" w:lineRule="auto"/>
        <w:rPr>
          <w:rFonts w:ascii="Times New Roman" w:hAnsi="Times New Roman" w:cs="Times New Roman"/>
          <w:b/>
          <w:bCs/>
        </w:rPr>
      </w:pPr>
    </w:p>
    <w:p w14:paraId="6A1AC6A4" w14:textId="77777777" w:rsidR="00E93D92" w:rsidRPr="00E93D92" w:rsidRDefault="00E93D92" w:rsidP="00E93D92">
      <w:pPr>
        <w:spacing w:line="480" w:lineRule="auto"/>
        <w:rPr>
          <w:rFonts w:ascii="Times New Roman" w:hAnsi="Times New Roman" w:cs="Times New Roman"/>
          <w:b/>
          <w:bCs/>
        </w:rPr>
      </w:pPr>
    </w:p>
    <w:p w14:paraId="5915E47B" w14:textId="77777777" w:rsidR="00E93D92" w:rsidRPr="00E93D92" w:rsidRDefault="00E93D92" w:rsidP="00E93D92">
      <w:pPr>
        <w:spacing w:line="480" w:lineRule="auto"/>
        <w:rPr>
          <w:rFonts w:ascii="Times New Roman" w:hAnsi="Times New Roman" w:cs="Times New Roman"/>
          <w:b/>
          <w:bCs/>
        </w:rPr>
      </w:pPr>
    </w:p>
    <w:p w14:paraId="5549E8F7" w14:textId="77777777" w:rsidR="00E93D92" w:rsidRPr="00E93D92" w:rsidRDefault="00E93D92" w:rsidP="00E93D92">
      <w:pPr>
        <w:spacing w:line="480" w:lineRule="auto"/>
        <w:rPr>
          <w:rFonts w:ascii="Times New Roman" w:hAnsi="Times New Roman" w:cs="Times New Roman"/>
          <w:b/>
          <w:bCs/>
        </w:rPr>
      </w:pPr>
    </w:p>
    <w:p w14:paraId="3FC95DA0" w14:textId="37EB3480" w:rsidR="00E93D92" w:rsidRPr="00E93D92" w:rsidRDefault="00E93D92" w:rsidP="00E93D92">
      <w:pPr>
        <w:spacing w:line="480" w:lineRule="auto"/>
        <w:jc w:val="center"/>
        <w:rPr>
          <w:rFonts w:ascii="Times New Roman" w:hAnsi="Times New Roman" w:cs="Times New Roman"/>
          <w:b/>
          <w:bCs/>
        </w:rPr>
      </w:pPr>
      <w:r w:rsidRPr="00E93D92">
        <w:rPr>
          <w:rFonts w:ascii="Times New Roman" w:hAnsi="Times New Roman" w:cs="Times New Roman"/>
          <w:b/>
          <w:bCs/>
        </w:rPr>
        <w:t>Optimising Geriatric Care in Europe: Challenges and Evidence-Based Approaches</w:t>
      </w:r>
    </w:p>
    <w:p w14:paraId="05E3BB1B" w14:textId="77777777" w:rsidR="00E93D92" w:rsidRPr="00E93D92" w:rsidRDefault="00E93D92" w:rsidP="00E93D92">
      <w:pPr>
        <w:spacing w:line="480" w:lineRule="auto"/>
        <w:jc w:val="center"/>
        <w:rPr>
          <w:rFonts w:ascii="Times New Roman" w:hAnsi="Times New Roman" w:cs="Times New Roman"/>
          <w:b/>
          <w:bCs/>
        </w:rPr>
      </w:pPr>
    </w:p>
    <w:p w14:paraId="33DF671F" w14:textId="77777777" w:rsidR="00E93D92" w:rsidRPr="00E93D92" w:rsidRDefault="00E93D92" w:rsidP="00E93D92">
      <w:pPr>
        <w:spacing w:line="480" w:lineRule="auto"/>
        <w:jc w:val="center"/>
        <w:rPr>
          <w:rFonts w:ascii="Times New Roman" w:hAnsi="Times New Roman" w:cs="Times New Roman"/>
          <w:b/>
          <w:bCs/>
        </w:rPr>
      </w:pPr>
    </w:p>
    <w:p w14:paraId="0A9F05CB" w14:textId="77777777" w:rsidR="00E93D92" w:rsidRPr="00E93D92" w:rsidRDefault="00E93D92" w:rsidP="00E93D92">
      <w:pPr>
        <w:spacing w:line="480" w:lineRule="auto"/>
        <w:jc w:val="center"/>
        <w:rPr>
          <w:rFonts w:ascii="Times New Roman" w:hAnsi="Times New Roman" w:cs="Times New Roman"/>
          <w:b/>
          <w:bCs/>
        </w:rPr>
      </w:pPr>
    </w:p>
    <w:p w14:paraId="5BDC6A3C" w14:textId="77777777" w:rsidR="00E93D92" w:rsidRPr="00E93D92" w:rsidRDefault="00E93D92" w:rsidP="00E93D92">
      <w:pPr>
        <w:spacing w:line="480" w:lineRule="auto"/>
        <w:jc w:val="center"/>
        <w:rPr>
          <w:rFonts w:ascii="Times New Roman" w:hAnsi="Times New Roman" w:cs="Times New Roman"/>
          <w:b/>
          <w:bCs/>
        </w:rPr>
      </w:pPr>
    </w:p>
    <w:p w14:paraId="23ED2A3F" w14:textId="77777777" w:rsidR="00E93D92" w:rsidRPr="00E93D92" w:rsidRDefault="00E93D92" w:rsidP="00E93D92">
      <w:pPr>
        <w:spacing w:line="480" w:lineRule="auto"/>
        <w:jc w:val="center"/>
        <w:rPr>
          <w:rFonts w:ascii="Times New Roman" w:hAnsi="Times New Roman" w:cs="Times New Roman"/>
          <w:b/>
          <w:bCs/>
        </w:rPr>
      </w:pPr>
    </w:p>
    <w:p w14:paraId="61003513" w14:textId="298602F4" w:rsidR="00E93D92" w:rsidRPr="00E93D92" w:rsidRDefault="00E93D92" w:rsidP="00E93D92">
      <w:pPr>
        <w:spacing w:line="480" w:lineRule="auto"/>
        <w:jc w:val="center"/>
        <w:rPr>
          <w:rFonts w:ascii="Times New Roman" w:hAnsi="Times New Roman" w:cs="Times New Roman"/>
        </w:rPr>
      </w:pPr>
      <w:r w:rsidRPr="00E93D92">
        <w:rPr>
          <w:rFonts w:ascii="Times New Roman" w:hAnsi="Times New Roman" w:cs="Times New Roman"/>
        </w:rPr>
        <w:t>Student’s Name</w:t>
      </w:r>
    </w:p>
    <w:p w14:paraId="545EAF75" w14:textId="721FAD49" w:rsidR="00E93D92" w:rsidRPr="00E93D92" w:rsidRDefault="00E93D92" w:rsidP="00E93D92">
      <w:pPr>
        <w:spacing w:line="480" w:lineRule="auto"/>
        <w:jc w:val="center"/>
        <w:rPr>
          <w:rFonts w:ascii="Times New Roman" w:hAnsi="Times New Roman" w:cs="Times New Roman"/>
        </w:rPr>
      </w:pPr>
      <w:r w:rsidRPr="00E93D92">
        <w:rPr>
          <w:rFonts w:ascii="Times New Roman" w:hAnsi="Times New Roman" w:cs="Times New Roman"/>
        </w:rPr>
        <w:t xml:space="preserve">University </w:t>
      </w:r>
    </w:p>
    <w:p w14:paraId="1FDD93E8" w14:textId="4A5F8E9A" w:rsidR="00E93D92" w:rsidRPr="00E93D92" w:rsidRDefault="00E93D92" w:rsidP="00E93D92">
      <w:pPr>
        <w:spacing w:line="480" w:lineRule="auto"/>
        <w:jc w:val="center"/>
        <w:rPr>
          <w:rFonts w:ascii="Times New Roman" w:hAnsi="Times New Roman" w:cs="Times New Roman"/>
        </w:rPr>
      </w:pPr>
      <w:r w:rsidRPr="00E93D92">
        <w:rPr>
          <w:rFonts w:ascii="Times New Roman" w:hAnsi="Times New Roman" w:cs="Times New Roman"/>
        </w:rPr>
        <w:t>Course Number + Course Name</w:t>
      </w:r>
    </w:p>
    <w:p w14:paraId="0CCE411A" w14:textId="0BF451FA" w:rsidR="00E93D92" w:rsidRPr="00E93D92" w:rsidRDefault="00E93D92" w:rsidP="00E93D92">
      <w:pPr>
        <w:spacing w:line="480" w:lineRule="auto"/>
        <w:jc w:val="center"/>
        <w:rPr>
          <w:rFonts w:ascii="Times New Roman" w:hAnsi="Times New Roman" w:cs="Times New Roman"/>
        </w:rPr>
      </w:pPr>
      <w:r w:rsidRPr="00E93D92">
        <w:rPr>
          <w:rFonts w:ascii="Times New Roman" w:hAnsi="Times New Roman" w:cs="Times New Roman"/>
        </w:rPr>
        <w:t>Due Date</w:t>
      </w:r>
    </w:p>
    <w:p w14:paraId="2752252C" w14:textId="7BC3B27C" w:rsidR="00947F23" w:rsidRDefault="00947F23" w:rsidP="00E93D92">
      <w:pPr>
        <w:spacing w:line="480" w:lineRule="auto"/>
        <w:rPr>
          <w:rFonts w:ascii="Times New Roman" w:hAnsi="Times New Roman" w:cs="Times New Roman"/>
        </w:rPr>
      </w:pPr>
    </w:p>
    <w:p w14:paraId="3FD7AE08" w14:textId="77777777" w:rsidR="00E93D92" w:rsidRDefault="00E93D92" w:rsidP="00E93D92">
      <w:pPr>
        <w:spacing w:line="480" w:lineRule="auto"/>
        <w:rPr>
          <w:rFonts w:ascii="Times New Roman" w:hAnsi="Times New Roman" w:cs="Times New Roman"/>
        </w:rPr>
      </w:pPr>
    </w:p>
    <w:p w14:paraId="34CD948F" w14:textId="77777777" w:rsidR="00E93D92" w:rsidRDefault="00E93D92" w:rsidP="00E93D92">
      <w:pPr>
        <w:spacing w:line="480" w:lineRule="auto"/>
        <w:rPr>
          <w:rFonts w:ascii="Times New Roman" w:hAnsi="Times New Roman" w:cs="Times New Roman"/>
        </w:rPr>
      </w:pPr>
    </w:p>
    <w:p w14:paraId="30CB449D" w14:textId="77777777" w:rsidR="00E93D92" w:rsidRDefault="00E93D92" w:rsidP="00E93D92">
      <w:pPr>
        <w:spacing w:line="480" w:lineRule="auto"/>
        <w:rPr>
          <w:rFonts w:ascii="Times New Roman" w:hAnsi="Times New Roman" w:cs="Times New Roman"/>
        </w:rPr>
      </w:pPr>
    </w:p>
    <w:p w14:paraId="34CE5A02" w14:textId="6B5FC947" w:rsidR="00E93D92" w:rsidRDefault="00E93D92" w:rsidP="00E93D92">
      <w:pPr>
        <w:spacing w:line="480" w:lineRule="auto"/>
        <w:jc w:val="center"/>
        <w:rPr>
          <w:rFonts w:ascii="Times New Roman" w:hAnsi="Times New Roman" w:cs="Times New Roman"/>
        </w:rPr>
      </w:pPr>
      <w:r w:rsidRPr="00E93D92">
        <w:rPr>
          <w:rFonts w:ascii="Times New Roman" w:hAnsi="Times New Roman" w:cs="Times New Roman"/>
          <w:b/>
          <w:bCs/>
        </w:rPr>
        <w:lastRenderedPageBreak/>
        <w:t>Abstract</w:t>
      </w:r>
    </w:p>
    <w:p w14:paraId="29C19389" w14:textId="75BB7D99" w:rsidR="00E93D92" w:rsidRPr="00E93D92" w:rsidRDefault="00E93D92" w:rsidP="00E93D92">
      <w:pPr>
        <w:spacing w:line="480" w:lineRule="auto"/>
        <w:ind w:firstLine="720"/>
        <w:rPr>
          <w:rFonts w:ascii="Times New Roman" w:hAnsi="Times New Roman" w:cs="Times New Roman"/>
        </w:rPr>
      </w:pPr>
      <w:r w:rsidRPr="00E93D92">
        <w:rPr>
          <w:rFonts w:ascii="Times New Roman" w:hAnsi="Times New Roman" w:cs="Times New Roman"/>
        </w:rPr>
        <w:t>Europe’s ageing population has fundamentally reshaped health and social care systems. Geriatric nursing plays a central role in addressing the unique needs of older adults, including multimorbidity, polypharmacy, and cognitive decline. Despite advances in medical technology, challenges such as staffing shortages and fragmented care persist. This paper critically explores the demographic context of ageing in Europe, highlights the primary challenges encountered in geriatric nursing, and examines evidence-based interventions aimed at improving patient outcomes. Drawing on European sources, including Eurostat, the National Institute for Health and Care Excellence (NICE), and recent peer-reviewed studies, the essay underscores the need for integrated, holistic approaches that place older adults at the centre of care delivery.</w:t>
      </w:r>
    </w:p>
    <w:p w14:paraId="5375AACA" w14:textId="77777777" w:rsidR="00E93D92" w:rsidRDefault="00E93D92" w:rsidP="00E93D92">
      <w:pPr>
        <w:spacing w:line="480" w:lineRule="auto"/>
        <w:rPr>
          <w:rFonts w:ascii="Times New Roman" w:hAnsi="Times New Roman" w:cs="Times New Roman"/>
          <w:b/>
          <w:bCs/>
        </w:rPr>
      </w:pPr>
    </w:p>
    <w:p w14:paraId="1C43D91F" w14:textId="77777777" w:rsidR="00E93D92" w:rsidRDefault="00E93D92" w:rsidP="00E93D92">
      <w:pPr>
        <w:spacing w:line="480" w:lineRule="auto"/>
        <w:jc w:val="center"/>
        <w:rPr>
          <w:rFonts w:ascii="Times New Roman" w:hAnsi="Times New Roman" w:cs="Times New Roman"/>
          <w:b/>
          <w:bCs/>
        </w:rPr>
      </w:pPr>
    </w:p>
    <w:p w14:paraId="3772CA1F" w14:textId="77777777" w:rsidR="00E93D92" w:rsidRDefault="00E93D92" w:rsidP="00E93D92">
      <w:pPr>
        <w:spacing w:line="480" w:lineRule="auto"/>
        <w:jc w:val="center"/>
        <w:rPr>
          <w:rFonts w:ascii="Times New Roman" w:hAnsi="Times New Roman" w:cs="Times New Roman"/>
          <w:b/>
          <w:bCs/>
        </w:rPr>
      </w:pPr>
    </w:p>
    <w:p w14:paraId="04639855" w14:textId="77777777" w:rsidR="00E93D92" w:rsidRDefault="00E93D92" w:rsidP="00E93D92">
      <w:pPr>
        <w:spacing w:line="480" w:lineRule="auto"/>
        <w:jc w:val="center"/>
        <w:rPr>
          <w:rFonts w:ascii="Times New Roman" w:hAnsi="Times New Roman" w:cs="Times New Roman"/>
          <w:b/>
          <w:bCs/>
        </w:rPr>
      </w:pPr>
    </w:p>
    <w:p w14:paraId="1BC43856" w14:textId="77777777" w:rsidR="00E93D92" w:rsidRDefault="00E93D92" w:rsidP="00E93D92">
      <w:pPr>
        <w:spacing w:line="480" w:lineRule="auto"/>
        <w:jc w:val="center"/>
        <w:rPr>
          <w:rFonts w:ascii="Times New Roman" w:hAnsi="Times New Roman" w:cs="Times New Roman"/>
          <w:b/>
          <w:bCs/>
        </w:rPr>
      </w:pPr>
    </w:p>
    <w:p w14:paraId="340E4446" w14:textId="77777777" w:rsidR="00E93D92" w:rsidRDefault="00E93D92" w:rsidP="00E93D92">
      <w:pPr>
        <w:spacing w:line="480" w:lineRule="auto"/>
        <w:jc w:val="center"/>
        <w:rPr>
          <w:rFonts w:ascii="Times New Roman" w:hAnsi="Times New Roman" w:cs="Times New Roman"/>
          <w:b/>
          <w:bCs/>
        </w:rPr>
      </w:pPr>
    </w:p>
    <w:p w14:paraId="0A148813" w14:textId="77777777" w:rsidR="00E93D92" w:rsidRDefault="00E93D92" w:rsidP="00E93D92">
      <w:pPr>
        <w:spacing w:line="480" w:lineRule="auto"/>
        <w:jc w:val="center"/>
        <w:rPr>
          <w:rFonts w:ascii="Times New Roman" w:hAnsi="Times New Roman" w:cs="Times New Roman"/>
          <w:b/>
          <w:bCs/>
        </w:rPr>
      </w:pPr>
    </w:p>
    <w:p w14:paraId="482A0942" w14:textId="77777777" w:rsidR="00E93D92" w:rsidRDefault="00E93D92" w:rsidP="00E93D92">
      <w:pPr>
        <w:spacing w:line="480" w:lineRule="auto"/>
        <w:jc w:val="center"/>
        <w:rPr>
          <w:rFonts w:ascii="Times New Roman" w:hAnsi="Times New Roman" w:cs="Times New Roman"/>
          <w:b/>
          <w:bCs/>
        </w:rPr>
      </w:pPr>
    </w:p>
    <w:p w14:paraId="38BBB946" w14:textId="77777777" w:rsidR="00E93D92" w:rsidRDefault="00E93D92" w:rsidP="00E93D92">
      <w:pPr>
        <w:spacing w:line="480" w:lineRule="auto"/>
        <w:jc w:val="center"/>
        <w:rPr>
          <w:rFonts w:ascii="Times New Roman" w:hAnsi="Times New Roman" w:cs="Times New Roman"/>
          <w:b/>
          <w:bCs/>
        </w:rPr>
      </w:pPr>
    </w:p>
    <w:p w14:paraId="1352864B" w14:textId="77777777" w:rsidR="00E93D92" w:rsidRDefault="00E93D92" w:rsidP="00E93D92">
      <w:pPr>
        <w:spacing w:line="480" w:lineRule="auto"/>
        <w:jc w:val="center"/>
        <w:rPr>
          <w:rFonts w:ascii="Times New Roman" w:hAnsi="Times New Roman" w:cs="Times New Roman"/>
          <w:b/>
          <w:bCs/>
        </w:rPr>
      </w:pPr>
    </w:p>
    <w:p w14:paraId="14CC1E84" w14:textId="77777777" w:rsidR="00E93D92" w:rsidRDefault="00E93D92" w:rsidP="00E93D92">
      <w:pPr>
        <w:spacing w:line="480" w:lineRule="auto"/>
        <w:jc w:val="center"/>
        <w:rPr>
          <w:rFonts w:ascii="Times New Roman" w:hAnsi="Times New Roman" w:cs="Times New Roman"/>
          <w:b/>
          <w:bCs/>
        </w:rPr>
      </w:pPr>
    </w:p>
    <w:p w14:paraId="0245BE1F" w14:textId="5FF6A95C" w:rsidR="00E93D92" w:rsidRPr="00E93D92" w:rsidRDefault="00E93D92" w:rsidP="00E93D92">
      <w:pPr>
        <w:spacing w:line="480" w:lineRule="auto"/>
        <w:jc w:val="center"/>
        <w:rPr>
          <w:rFonts w:ascii="Times New Roman" w:hAnsi="Times New Roman" w:cs="Times New Roman"/>
          <w:b/>
          <w:bCs/>
        </w:rPr>
      </w:pPr>
      <w:r w:rsidRPr="00E93D92">
        <w:rPr>
          <w:rFonts w:ascii="Times New Roman" w:hAnsi="Times New Roman" w:cs="Times New Roman"/>
          <w:b/>
          <w:bCs/>
        </w:rPr>
        <w:lastRenderedPageBreak/>
        <w:t>Introduction</w:t>
      </w:r>
    </w:p>
    <w:p w14:paraId="489B6C73" w14:textId="77777777" w:rsidR="00E93D92" w:rsidRPr="00E93D92" w:rsidRDefault="00E93D92" w:rsidP="00E93D92">
      <w:pPr>
        <w:spacing w:line="480" w:lineRule="auto"/>
        <w:ind w:firstLine="720"/>
        <w:rPr>
          <w:rFonts w:ascii="Times New Roman" w:hAnsi="Times New Roman" w:cs="Times New Roman"/>
        </w:rPr>
      </w:pPr>
      <w:r w:rsidRPr="00E93D92">
        <w:rPr>
          <w:rFonts w:ascii="Times New Roman" w:hAnsi="Times New Roman" w:cs="Times New Roman"/>
        </w:rPr>
        <w:t>Europe is experiencing a demographic shift characterised by an unprecedented increase in the proportion of older adults. According to Eurostat (2022), nearly 21% of the European Union (EU) population is aged 65 years or over, and this figure is expected to rise to 30% by 2050. This shift has profound implications for healthcare systems, particularly for nursing professionals working in geriatric care.</w:t>
      </w:r>
    </w:p>
    <w:p w14:paraId="0D9C52AC" w14:textId="77777777" w:rsidR="00E93D92" w:rsidRPr="00E93D92" w:rsidRDefault="00E93D92" w:rsidP="00E93D92">
      <w:pPr>
        <w:spacing w:line="480" w:lineRule="auto"/>
        <w:ind w:firstLine="720"/>
        <w:rPr>
          <w:rFonts w:ascii="Times New Roman" w:hAnsi="Times New Roman" w:cs="Times New Roman"/>
        </w:rPr>
      </w:pPr>
      <w:r w:rsidRPr="00E93D92">
        <w:rPr>
          <w:rFonts w:ascii="Times New Roman" w:hAnsi="Times New Roman" w:cs="Times New Roman"/>
        </w:rPr>
        <w:t>Geriatric nursing requires a specialised skill set, addressing not only the physical health of older adults but also their psychological, social, and spiritual needs (World Health Organization [WHO], 2021). The rise in chronic illnesses, dementia, and complex medication regimens has placed unprecedented pressure on nurses, who often act as the first line of care.</w:t>
      </w:r>
    </w:p>
    <w:p w14:paraId="74008AB1" w14:textId="13E282A2" w:rsidR="00E93D92" w:rsidRPr="00E93D92" w:rsidRDefault="00E93D92" w:rsidP="00E93D92">
      <w:pPr>
        <w:spacing w:line="480" w:lineRule="auto"/>
        <w:ind w:firstLine="720"/>
        <w:rPr>
          <w:rFonts w:ascii="Times New Roman" w:hAnsi="Times New Roman" w:cs="Times New Roman"/>
        </w:rPr>
      </w:pPr>
      <w:r w:rsidRPr="00E93D92">
        <w:rPr>
          <w:rFonts w:ascii="Times New Roman" w:hAnsi="Times New Roman" w:cs="Times New Roman"/>
        </w:rPr>
        <w:t>This paper will critically examine three core aspects of geriatric nursing in Europe: the demographic landscape of ageing, the challenges nurses face in practice, and the evidence-based interventions that can improve outcomes. By contextualising these issues within European healthcare systems, the discussion offers insights into how geriatric care can evolve to meet future demands.</w:t>
      </w:r>
    </w:p>
    <w:p w14:paraId="53D5A2F5" w14:textId="77777777" w:rsidR="00E93D92" w:rsidRPr="00E93D92" w:rsidRDefault="00E93D92" w:rsidP="00E93D92">
      <w:pPr>
        <w:spacing w:line="480" w:lineRule="auto"/>
        <w:rPr>
          <w:rFonts w:ascii="Times New Roman" w:hAnsi="Times New Roman" w:cs="Times New Roman"/>
          <w:b/>
          <w:bCs/>
        </w:rPr>
      </w:pPr>
      <w:r w:rsidRPr="00E93D92">
        <w:rPr>
          <w:rFonts w:ascii="Times New Roman" w:hAnsi="Times New Roman" w:cs="Times New Roman"/>
          <w:b/>
          <w:bCs/>
        </w:rPr>
        <w:t>Demographics of Ageing in Europe</w:t>
      </w:r>
    </w:p>
    <w:p w14:paraId="45D9782E" w14:textId="77777777" w:rsidR="00E93D92" w:rsidRPr="00E93D92" w:rsidRDefault="00E93D92" w:rsidP="00E93D92">
      <w:pPr>
        <w:spacing w:line="480" w:lineRule="auto"/>
        <w:ind w:firstLine="720"/>
        <w:rPr>
          <w:rFonts w:ascii="Times New Roman" w:hAnsi="Times New Roman" w:cs="Times New Roman"/>
        </w:rPr>
      </w:pPr>
      <w:r w:rsidRPr="00E93D92">
        <w:rPr>
          <w:rFonts w:ascii="Times New Roman" w:hAnsi="Times New Roman" w:cs="Times New Roman"/>
        </w:rPr>
        <w:t>Europe is currently the “oldest” continent in the world, with life expectancy averaging 81 years in the EU compared to 73 years globally (Eurostat, 2022). Countries such as Italy, Germany, and Finland have some of the highest median ages, reflecting decades of low fertility rates and improvements in medical care.</w:t>
      </w:r>
    </w:p>
    <w:p w14:paraId="42E45B1F" w14:textId="77777777" w:rsidR="00E93D92" w:rsidRPr="00E93D92" w:rsidRDefault="00E93D92" w:rsidP="00E93D92">
      <w:pPr>
        <w:spacing w:line="480" w:lineRule="auto"/>
        <w:ind w:firstLine="720"/>
        <w:rPr>
          <w:rFonts w:ascii="Times New Roman" w:hAnsi="Times New Roman" w:cs="Times New Roman"/>
        </w:rPr>
      </w:pPr>
      <w:r w:rsidRPr="00E93D92">
        <w:rPr>
          <w:rFonts w:ascii="Times New Roman" w:hAnsi="Times New Roman" w:cs="Times New Roman"/>
        </w:rPr>
        <w:t xml:space="preserve">While this longevity is a public health achievement, it comes with an increased prevalence of chronic illnesses such as cardiovascular disease, diabetes, and cancer (Prince et al., 2015). Moreover, cognitive decline has become more prominent, with the Alzheimer </w:t>
      </w:r>
      <w:r w:rsidRPr="00E93D92">
        <w:rPr>
          <w:rFonts w:ascii="Times New Roman" w:hAnsi="Times New Roman" w:cs="Times New Roman"/>
        </w:rPr>
        <w:lastRenderedPageBreak/>
        <w:t>Europe Report (2021) estimating that 9.8 million Europeans live with dementia, a figure projected to double by 2050.</w:t>
      </w:r>
    </w:p>
    <w:p w14:paraId="09FCD5EA" w14:textId="42202BB2" w:rsidR="00E93D92" w:rsidRPr="00E93D92" w:rsidRDefault="00E93D92" w:rsidP="00E93D92">
      <w:pPr>
        <w:spacing w:line="480" w:lineRule="auto"/>
        <w:ind w:firstLine="720"/>
        <w:rPr>
          <w:rFonts w:ascii="Times New Roman" w:hAnsi="Times New Roman" w:cs="Times New Roman"/>
        </w:rPr>
      </w:pPr>
      <w:r w:rsidRPr="00E93D92">
        <w:rPr>
          <w:rFonts w:ascii="Times New Roman" w:hAnsi="Times New Roman" w:cs="Times New Roman"/>
        </w:rPr>
        <w:t>The demographic challenge is compounded by workforce limitations. According to the European Commission (2020), nursing shortages are particularly acute in geriatrics, with some countries facing vacancy rates of up to 20%. These trends place immense pressure on already stretched health systems, making innovation and reform in geriatric care essential.</w:t>
      </w:r>
    </w:p>
    <w:p w14:paraId="43A730B9" w14:textId="77777777" w:rsidR="00E93D92" w:rsidRPr="00E93D92" w:rsidRDefault="00E93D92" w:rsidP="00E93D92">
      <w:pPr>
        <w:spacing w:line="480" w:lineRule="auto"/>
        <w:jc w:val="center"/>
        <w:rPr>
          <w:rFonts w:ascii="Times New Roman" w:hAnsi="Times New Roman" w:cs="Times New Roman"/>
          <w:b/>
          <w:bCs/>
        </w:rPr>
      </w:pPr>
      <w:r w:rsidRPr="00E93D92">
        <w:rPr>
          <w:rFonts w:ascii="Times New Roman" w:hAnsi="Times New Roman" w:cs="Times New Roman"/>
          <w:b/>
          <w:bCs/>
        </w:rPr>
        <w:t>Key Challenges in Geriatric Nursing</w:t>
      </w:r>
    </w:p>
    <w:p w14:paraId="00050453" w14:textId="77777777" w:rsidR="00E93D92" w:rsidRPr="00E93D92" w:rsidRDefault="00E93D92" w:rsidP="00E93D92">
      <w:pPr>
        <w:spacing w:line="480" w:lineRule="auto"/>
        <w:rPr>
          <w:rFonts w:ascii="Times New Roman" w:hAnsi="Times New Roman" w:cs="Times New Roman"/>
          <w:b/>
          <w:bCs/>
        </w:rPr>
      </w:pPr>
      <w:r w:rsidRPr="00E93D92">
        <w:rPr>
          <w:rFonts w:ascii="Times New Roman" w:hAnsi="Times New Roman" w:cs="Times New Roman"/>
          <w:b/>
          <w:bCs/>
        </w:rPr>
        <w:t>Multimorbidity</w:t>
      </w:r>
    </w:p>
    <w:p w14:paraId="5B8392D5" w14:textId="77777777" w:rsidR="00E93D92" w:rsidRPr="00E93D92" w:rsidRDefault="00E93D92" w:rsidP="00E93D92">
      <w:pPr>
        <w:spacing w:line="480" w:lineRule="auto"/>
        <w:ind w:firstLine="720"/>
        <w:rPr>
          <w:rFonts w:ascii="Times New Roman" w:hAnsi="Times New Roman" w:cs="Times New Roman"/>
        </w:rPr>
      </w:pPr>
      <w:r w:rsidRPr="00E93D92">
        <w:rPr>
          <w:rFonts w:ascii="Times New Roman" w:hAnsi="Times New Roman" w:cs="Times New Roman"/>
        </w:rPr>
        <w:t>Older adults frequently live with more than one chronic illness, a phenomenon known as multimorbidity. The Lancet Public Health (2019) highlights that 50–70% of adults over 65 in Europe suffer from two or more chronic conditions. For nurses, this complicates care planning, as each condition requires specific interventions that may interact with one another. Coordinating care across multiple specialists can also lead to fragmented services, which undermines continuity of care.</w:t>
      </w:r>
    </w:p>
    <w:p w14:paraId="61A4D570" w14:textId="77777777" w:rsidR="00E93D92" w:rsidRPr="00E93D92" w:rsidRDefault="00E93D92" w:rsidP="00E93D92">
      <w:pPr>
        <w:spacing w:line="480" w:lineRule="auto"/>
        <w:rPr>
          <w:rFonts w:ascii="Times New Roman" w:hAnsi="Times New Roman" w:cs="Times New Roman"/>
          <w:b/>
          <w:bCs/>
        </w:rPr>
      </w:pPr>
      <w:r w:rsidRPr="00E93D92">
        <w:rPr>
          <w:rFonts w:ascii="Times New Roman" w:hAnsi="Times New Roman" w:cs="Times New Roman"/>
          <w:b/>
          <w:bCs/>
        </w:rPr>
        <w:t>Polypharmacy</w:t>
      </w:r>
    </w:p>
    <w:p w14:paraId="0B9D0C26" w14:textId="77777777" w:rsidR="00E93D92" w:rsidRPr="00E93D92" w:rsidRDefault="00E93D92" w:rsidP="00E93D92">
      <w:pPr>
        <w:spacing w:line="480" w:lineRule="auto"/>
        <w:ind w:firstLine="720"/>
        <w:rPr>
          <w:rFonts w:ascii="Times New Roman" w:hAnsi="Times New Roman" w:cs="Times New Roman"/>
        </w:rPr>
      </w:pPr>
      <w:r w:rsidRPr="00E93D92">
        <w:rPr>
          <w:rFonts w:ascii="Times New Roman" w:hAnsi="Times New Roman" w:cs="Times New Roman"/>
        </w:rPr>
        <w:t>Polypharmacy, defined as the use of five or more medications, is a direct consequence of multimorbidity. While medications are essential for managing chronic conditions, they carry risks such as adverse drug interactions, falls, and hospitalisations (Maher et al., 2014). The UK’s NICE (2019) guidelines recommend structured medication reviews, often led by nurses, to reduce unnecessary prescriptions. However, implementing these reviews consistently across Europe remains a challenge due to workforce shortages and systemic constraints.</w:t>
      </w:r>
    </w:p>
    <w:p w14:paraId="22E7B4D8" w14:textId="77777777" w:rsidR="00E93D92" w:rsidRPr="00E93D92" w:rsidRDefault="00E93D92" w:rsidP="00E93D92">
      <w:pPr>
        <w:spacing w:line="480" w:lineRule="auto"/>
        <w:rPr>
          <w:rFonts w:ascii="Times New Roman" w:hAnsi="Times New Roman" w:cs="Times New Roman"/>
          <w:b/>
          <w:bCs/>
        </w:rPr>
      </w:pPr>
      <w:r w:rsidRPr="00E93D92">
        <w:rPr>
          <w:rFonts w:ascii="Times New Roman" w:hAnsi="Times New Roman" w:cs="Times New Roman"/>
          <w:b/>
          <w:bCs/>
        </w:rPr>
        <w:t>Cognitive Decline</w:t>
      </w:r>
    </w:p>
    <w:p w14:paraId="2E118E4C" w14:textId="77777777" w:rsidR="00E93D92" w:rsidRPr="00E93D92" w:rsidRDefault="00E93D92" w:rsidP="00E93D92">
      <w:pPr>
        <w:spacing w:line="480" w:lineRule="auto"/>
        <w:ind w:firstLine="720"/>
        <w:rPr>
          <w:rFonts w:ascii="Times New Roman" w:hAnsi="Times New Roman" w:cs="Times New Roman"/>
        </w:rPr>
      </w:pPr>
      <w:r w:rsidRPr="00E93D92">
        <w:rPr>
          <w:rFonts w:ascii="Times New Roman" w:hAnsi="Times New Roman" w:cs="Times New Roman"/>
        </w:rPr>
        <w:lastRenderedPageBreak/>
        <w:t>Dementia is one of the most pressing challenges in geriatric nursing. Cognitive decline affects communication, self-care, and decision-making capacity, requiring tailored approaches that are resource intensive. Nurses often serve as both caregivers and advocates, balancing clinical responsibilities with emotional support for families. This dual role, while vital, contributes to burnout and compassion fatigue among healthcare staff (European Geriatric Medicine Society, 2020).</w:t>
      </w:r>
    </w:p>
    <w:p w14:paraId="728CCC8D" w14:textId="77777777" w:rsidR="00E93D92" w:rsidRPr="00E93D92" w:rsidRDefault="00E93D92" w:rsidP="00E93D92">
      <w:pPr>
        <w:spacing w:line="480" w:lineRule="auto"/>
        <w:rPr>
          <w:rFonts w:ascii="Times New Roman" w:hAnsi="Times New Roman" w:cs="Times New Roman"/>
          <w:b/>
          <w:bCs/>
        </w:rPr>
      </w:pPr>
      <w:r w:rsidRPr="00E93D92">
        <w:rPr>
          <w:rFonts w:ascii="Times New Roman" w:hAnsi="Times New Roman" w:cs="Times New Roman"/>
          <w:b/>
          <w:bCs/>
        </w:rPr>
        <w:t>Workforce Shortages and Burnout</w:t>
      </w:r>
    </w:p>
    <w:p w14:paraId="1F016B61" w14:textId="636DA34F" w:rsidR="00E93D92" w:rsidRPr="00E93D92" w:rsidRDefault="00E93D92" w:rsidP="00E93D92">
      <w:pPr>
        <w:spacing w:line="480" w:lineRule="auto"/>
        <w:ind w:firstLine="720"/>
        <w:rPr>
          <w:rFonts w:ascii="Times New Roman" w:hAnsi="Times New Roman" w:cs="Times New Roman"/>
        </w:rPr>
      </w:pPr>
      <w:r w:rsidRPr="00E93D92">
        <w:rPr>
          <w:rFonts w:ascii="Times New Roman" w:hAnsi="Times New Roman" w:cs="Times New Roman"/>
        </w:rPr>
        <w:t>Perhaps the most systemic challenge lies in staffing shortages. Ageing populations demand more intensive care, but the supply of qualified nurses has not kept pace. The European Commission (2020) estimates a shortage of nearly 1 million healthcare workers by 2025. Burnout, driven by workload and emotional stress, further exacerbates the issue, with nurses leaving the profession at alarming rates.</w:t>
      </w:r>
    </w:p>
    <w:p w14:paraId="148121F0" w14:textId="77777777" w:rsidR="00E93D92" w:rsidRPr="00E93D92" w:rsidRDefault="00E93D92" w:rsidP="00E93D92">
      <w:pPr>
        <w:spacing w:line="480" w:lineRule="auto"/>
        <w:jc w:val="center"/>
        <w:rPr>
          <w:rFonts w:ascii="Times New Roman" w:hAnsi="Times New Roman" w:cs="Times New Roman"/>
          <w:b/>
          <w:bCs/>
        </w:rPr>
      </w:pPr>
      <w:r w:rsidRPr="00E93D92">
        <w:rPr>
          <w:rFonts w:ascii="Times New Roman" w:hAnsi="Times New Roman" w:cs="Times New Roman"/>
          <w:b/>
          <w:bCs/>
        </w:rPr>
        <w:t>Evidence-Based Interventions in Geriatric Nursing</w:t>
      </w:r>
    </w:p>
    <w:p w14:paraId="38FFA26B" w14:textId="77777777" w:rsidR="00E93D92" w:rsidRPr="00E93D92" w:rsidRDefault="00E93D92" w:rsidP="00E93D92">
      <w:pPr>
        <w:spacing w:line="480" w:lineRule="auto"/>
        <w:rPr>
          <w:rFonts w:ascii="Times New Roman" w:hAnsi="Times New Roman" w:cs="Times New Roman"/>
          <w:b/>
          <w:bCs/>
        </w:rPr>
      </w:pPr>
      <w:r w:rsidRPr="00E93D92">
        <w:rPr>
          <w:rFonts w:ascii="Times New Roman" w:hAnsi="Times New Roman" w:cs="Times New Roman"/>
          <w:b/>
          <w:bCs/>
        </w:rPr>
        <w:t>Holistic, Patient-Centred Care</w:t>
      </w:r>
    </w:p>
    <w:p w14:paraId="4206BF7C" w14:textId="77777777" w:rsidR="00E93D92" w:rsidRPr="00E93D92" w:rsidRDefault="00E93D92" w:rsidP="00E93D92">
      <w:pPr>
        <w:spacing w:line="480" w:lineRule="auto"/>
        <w:ind w:firstLine="720"/>
        <w:rPr>
          <w:rFonts w:ascii="Times New Roman" w:hAnsi="Times New Roman" w:cs="Times New Roman"/>
        </w:rPr>
      </w:pPr>
      <w:r w:rsidRPr="00E93D92">
        <w:rPr>
          <w:rFonts w:ascii="Times New Roman" w:hAnsi="Times New Roman" w:cs="Times New Roman"/>
        </w:rPr>
        <w:t>Research demonstrates that holistic, patient-centred care improves both patient outcomes and satisfaction. This approach integrates physical health, mental wellbeing, and social factors into a unified care plan. NICE (2019) guidelines advocate for personalised care planning that actively involves older adults in decision-making, thus enhancing autonomy and dignity.</w:t>
      </w:r>
    </w:p>
    <w:p w14:paraId="17ECBF02" w14:textId="77777777" w:rsidR="00E93D92" w:rsidRPr="00E93D92" w:rsidRDefault="00E93D92" w:rsidP="00E93D92">
      <w:pPr>
        <w:spacing w:line="480" w:lineRule="auto"/>
        <w:rPr>
          <w:rFonts w:ascii="Times New Roman" w:hAnsi="Times New Roman" w:cs="Times New Roman"/>
          <w:b/>
          <w:bCs/>
        </w:rPr>
      </w:pPr>
      <w:r w:rsidRPr="00E93D92">
        <w:rPr>
          <w:rFonts w:ascii="Times New Roman" w:hAnsi="Times New Roman" w:cs="Times New Roman"/>
          <w:b/>
          <w:bCs/>
        </w:rPr>
        <w:t>Preventative Strategies</w:t>
      </w:r>
    </w:p>
    <w:p w14:paraId="706863B9" w14:textId="77777777" w:rsidR="00E93D92" w:rsidRPr="00E93D92" w:rsidRDefault="00E93D92" w:rsidP="00E93D92">
      <w:pPr>
        <w:spacing w:line="480" w:lineRule="auto"/>
        <w:ind w:firstLine="720"/>
        <w:rPr>
          <w:rFonts w:ascii="Times New Roman" w:hAnsi="Times New Roman" w:cs="Times New Roman"/>
        </w:rPr>
      </w:pPr>
      <w:r w:rsidRPr="00E93D92">
        <w:rPr>
          <w:rFonts w:ascii="Times New Roman" w:hAnsi="Times New Roman" w:cs="Times New Roman"/>
        </w:rPr>
        <w:t xml:space="preserve">Preventative care is essential to reduce hospital admissions among older adults. Interventions such as fall-prevention programmes, mobility exercises, and nutritional support have proven effective (Gillespie et al., 2012). For example, community-based fall-prevention </w:t>
      </w:r>
      <w:r w:rsidRPr="00E93D92">
        <w:rPr>
          <w:rFonts w:ascii="Times New Roman" w:hAnsi="Times New Roman" w:cs="Times New Roman"/>
        </w:rPr>
        <w:lastRenderedPageBreak/>
        <w:t xml:space="preserve">classes in Sweden reduced hospitalisations by 18% over five years (Sjögren &amp; </w:t>
      </w:r>
      <w:proofErr w:type="spellStart"/>
      <w:r w:rsidRPr="00E93D92">
        <w:rPr>
          <w:rFonts w:ascii="Times New Roman" w:hAnsi="Times New Roman" w:cs="Times New Roman"/>
        </w:rPr>
        <w:t>Björnstig</w:t>
      </w:r>
      <w:proofErr w:type="spellEnd"/>
      <w:r w:rsidRPr="00E93D92">
        <w:rPr>
          <w:rFonts w:ascii="Times New Roman" w:hAnsi="Times New Roman" w:cs="Times New Roman"/>
        </w:rPr>
        <w:t>, 2020). Nurses play a pivotal role in implementing these preventative measures at both community and hospital levels.</w:t>
      </w:r>
    </w:p>
    <w:p w14:paraId="6FC6B2A8" w14:textId="77777777" w:rsidR="00E93D92" w:rsidRPr="00E93D92" w:rsidRDefault="00E93D92" w:rsidP="00E93D92">
      <w:pPr>
        <w:spacing w:line="480" w:lineRule="auto"/>
        <w:rPr>
          <w:rFonts w:ascii="Times New Roman" w:hAnsi="Times New Roman" w:cs="Times New Roman"/>
          <w:b/>
          <w:bCs/>
        </w:rPr>
      </w:pPr>
      <w:r w:rsidRPr="00E93D92">
        <w:rPr>
          <w:rFonts w:ascii="Times New Roman" w:hAnsi="Times New Roman" w:cs="Times New Roman"/>
          <w:b/>
          <w:bCs/>
        </w:rPr>
        <w:t>Technology in Geriatric Care</w:t>
      </w:r>
    </w:p>
    <w:p w14:paraId="34C0BA03" w14:textId="77777777" w:rsidR="00E93D92" w:rsidRPr="00E93D92" w:rsidRDefault="00E93D92" w:rsidP="00E93D92">
      <w:pPr>
        <w:spacing w:line="480" w:lineRule="auto"/>
        <w:ind w:firstLine="720"/>
        <w:rPr>
          <w:rFonts w:ascii="Times New Roman" w:hAnsi="Times New Roman" w:cs="Times New Roman"/>
        </w:rPr>
      </w:pPr>
      <w:r w:rsidRPr="00E93D92">
        <w:rPr>
          <w:rFonts w:ascii="Times New Roman" w:hAnsi="Times New Roman" w:cs="Times New Roman"/>
        </w:rPr>
        <w:t>Technological advancements, such as telemedicine, wearable devices, and artificial intelligence, are transforming geriatric nursing. During the COVID-19 pandemic, telemedicine became a lifeline for older adults in rural areas of Europe (Batsis et al., 2021). Wearable health monitors also enable early detection of complications such as arrhythmias, reducing emergency admissions. However, ethical concerns regarding privacy and accessibility must be addressed to ensure equitable use.</w:t>
      </w:r>
    </w:p>
    <w:p w14:paraId="60ACDCFB" w14:textId="77777777" w:rsidR="00E93D92" w:rsidRPr="00E93D92" w:rsidRDefault="00E93D92" w:rsidP="00E93D92">
      <w:pPr>
        <w:spacing w:line="480" w:lineRule="auto"/>
        <w:rPr>
          <w:rFonts w:ascii="Times New Roman" w:hAnsi="Times New Roman" w:cs="Times New Roman"/>
          <w:b/>
          <w:bCs/>
        </w:rPr>
      </w:pPr>
      <w:r w:rsidRPr="00E93D92">
        <w:rPr>
          <w:rFonts w:ascii="Times New Roman" w:hAnsi="Times New Roman" w:cs="Times New Roman"/>
          <w:b/>
          <w:bCs/>
        </w:rPr>
        <w:t>Multidisciplinary Teams</w:t>
      </w:r>
    </w:p>
    <w:p w14:paraId="62A6657E" w14:textId="77777777" w:rsidR="00E93D92" w:rsidRPr="00E93D92" w:rsidRDefault="00E93D92" w:rsidP="00E93D92">
      <w:pPr>
        <w:spacing w:line="480" w:lineRule="auto"/>
        <w:ind w:firstLine="720"/>
        <w:rPr>
          <w:rFonts w:ascii="Times New Roman" w:hAnsi="Times New Roman" w:cs="Times New Roman"/>
        </w:rPr>
      </w:pPr>
      <w:r w:rsidRPr="00E93D92">
        <w:rPr>
          <w:rFonts w:ascii="Times New Roman" w:hAnsi="Times New Roman" w:cs="Times New Roman"/>
        </w:rPr>
        <w:t xml:space="preserve">Collaboration across disciplines is another evidence-based approach. Multidisciplinary teams consisting of nurses, physicians, physiotherapists, and social workers deliver integrated care that reduces fragmentation. A study published in </w:t>
      </w:r>
      <w:r w:rsidRPr="00E93D92">
        <w:rPr>
          <w:rFonts w:ascii="Times New Roman" w:hAnsi="Times New Roman" w:cs="Times New Roman"/>
          <w:i/>
          <w:iCs/>
        </w:rPr>
        <w:t>European Geriatric Medicine</w:t>
      </w:r>
      <w:r w:rsidRPr="00E93D92">
        <w:rPr>
          <w:rFonts w:ascii="Times New Roman" w:hAnsi="Times New Roman" w:cs="Times New Roman"/>
        </w:rPr>
        <w:t xml:space="preserve"> (2018) found that multidisciplinary interventions improved functional independence in older adults and reduced hospital readmissions. Nurses, given their frontline role, are often the coordinators of such teams.</w:t>
      </w:r>
    </w:p>
    <w:p w14:paraId="24908A96" w14:textId="605C3E70" w:rsidR="00E93D92" w:rsidRPr="00E93D92" w:rsidRDefault="00E93D92" w:rsidP="00E93D92">
      <w:pPr>
        <w:spacing w:line="480" w:lineRule="auto"/>
        <w:rPr>
          <w:rFonts w:ascii="Times New Roman" w:hAnsi="Times New Roman" w:cs="Times New Roman"/>
        </w:rPr>
      </w:pPr>
    </w:p>
    <w:p w14:paraId="582160FA" w14:textId="77777777" w:rsidR="00E93D92" w:rsidRPr="00E93D92" w:rsidRDefault="00E93D92" w:rsidP="00E93D92">
      <w:pPr>
        <w:spacing w:line="480" w:lineRule="auto"/>
        <w:jc w:val="center"/>
        <w:rPr>
          <w:rFonts w:ascii="Times New Roman" w:hAnsi="Times New Roman" w:cs="Times New Roman"/>
          <w:b/>
          <w:bCs/>
        </w:rPr>
      </w:pPr>
      <w:r w:rsidRPr="00E93D92">
        <w:rPr>
          <w:rFonts w:ascii="Times New Roman" w:hAnsi="Times New Roman" w:cs="Times New Roman"/>
          <w:b/>
          <w:bCs/>
        </w:rPr>
        <w:t>Conclusion</w:t>
      </w:r>
    </w:p>
    <w:p w14:paraId="13923169" w14:textId="77777777" w:rsidR="00E93D92" w:rsidRPr="00E93D92" w:rsidRDefault="00E93D92" w:rsidP="00E93D92">
      <w:pPr>
        <w:spacing w:line="480" w:lineRule="auto"/>
        <w:ind w:firstLine="720"/>
        <w:rPr>
          <w:rFonts w:ascii="Times New Roman" w:hAnsi="Times New Roman" w:cs="Times New Roman"/>
        </w:rPr>
      </w:pPr>
      <w:r w:rsidRPr="00E93D92">
        <w:rPr>
          <w:rFonts w:ascii="Times New Roman" w:hAnsi="Times New Roman" w:cs="Times New Roman"/>
        </w:rPr>
        <w:t xml:space="preserve">The demographic reality of an ageing Europe has made geriatric nursing a cornerstone of modern healthcare. Challenges such as multimorbidity, polypharmacy, cognitive decline, and workforce shortages complicate the delivery of high-quality care. However, evidence </w:t>
      </w:r>
      <w:r w:rsidRPr="00E93D92">
        <w:rPr>
          <w:rFonts w:ascii="Times New Roman" w:hAnsi="Times New Roman" w:cs="Times New Roman"/>
        </w:rPr>
        <w:lastRenderedPageBreak/>
        <w:t>demonstrates that holistic, preventative, and technologically enhanced strategies, delivered through multidisciplinary teams, can significantly improve outcomes.</w:t>
      </w:r>
    </w:p>
    <w:p w14:paraId="6A7E53C5" w14:textId="77777777" w:rsidR="00E93D92" w:rsidRPr="00E93D92" w:rsidRDefault="00E93D92" w:rsidP="00E93D92">
      <w:pPr>
        <w:spacing w:line="480" w:lineRule="auto"/>
        <w:rPr>
          <w:rFonts w:ascii="Times New Roman" w:hAnsi="Times New Roman" w:cs="Times New Roman"/>
        </w:rPr>
      </w:pPr>
      <w:r w:rsidRPr="00E93D92">
        <w:rPr>
          <w:rFonts w:ascii="Times New Roman" w:hAnsi="Times New Roman" w:cs="Times New Roman"/>
        </w:rPr>
        <w:t>Nurses are uniquely positioned to lead these changes, but systemic reforms are essential to equip them with the necessary resources and support. As Europe continues to age, investing in geriatric nursing is not merely a healthcare priority but a societal imperative.</w:t>
      </w:r>
    </w:p>
    <w:p w14:paraId="0B60A97A" w14:textId="3FDC5E9D" w:rsidR="00E93D92" w:rsidRPr="00E93D92" w:rsidRDefault="00E93D92" w:rsidP="00E93D92">
      <w:pPr>
        <w:spacing w:line="480" w:lineRule="auto"/>
        <w:rPr>
          <w:rFonts w:ascii="Times New Roman" w:hAnsi="Times New Roman" w:cs="Times New Roman"/>
        </w:rPr>
      </w:pPr>
    </w:p>
    <w:p w14:paraId="165258EE" w14:textId="77777777" w:rsidR="00E93D92" w:rsidRPr="00E93D92" w:rsidRDefault="00E93D92" w:rsidP="00E93D92">
      <w:pPr>
        <w:spacing w:line="480" w:lineRule="auto"/>
        <w:jc w:val="center"/>
        <w:rPr>
          <w:rFonts w:ascii="Times New Roman" w:hAnsi="Times New Roman" w:cs="Times New Roman"/>
          <w:b/>
          <w:bCs/>
        </w:rPr>
      </w:pPr>
      <w:r w:rsidRPr="00E93D92">
        <w:rPr>
          <w:rFonts w:ascii="Times New Roman" w:hAnsi="Times New Roman" w:cs="Times New Roman"/>
          <w:b/>
          <w:bCs/>
        </w:rPr>
        <w:t>References</w:t>
      </w:r>
    </w:p>
    <w:p w14:paraId="702A715C" w14:textId="77777777" w:rsidR="00E93D92" w:rsidRPr="00E93D92" w:rsidRDefault="00E93D92" w:rsidP="00E93D92">
      <w:pPr>
        <w:spacing w:line="480" w:lineRule="auto"/>
        <w:ind w:left="720" w:hanging="720"/>
        <w:rPr>
          <w:rFonts w:ascii="Times New Roman" w:hAnsi="Times New Roman" w:cs="Times New Roman"/>
        </w:rPr>
      </w:pPr>
      <w:r w:rsidRPr="00E93D92">
        <w:rPr>
          <w:rFonts w:ascii="Times New Roman" w:hAnsi="Times New Roman" w:cs="Times New Roman"/>
        </w:rPr>
        <w:t xml:space="preserve">Alzheimer Europe. (2021). </w:t>
      </w:r>
      <w:r w:rsidRPr="00E93D92">
        <w:rPr>
          <w:rFonts w:ascii="Times New Roman" w:hAnsi="Times New Roman" w:cs="Times New Roman"/>
          <w:i/>
          <w:iCs/>
        </w:rPr>
        <w:t>Dementia in Europe Yearbook 2021</w:t>
      </w:r>
      <w:r w:rsidRPr="00E93D92">
        <w:rPr>
          <w:rFonts w:ascii="Times New Roman" w:hAnsi="Times New Roman" w:cs="Times New Roman"/>
        </w:rPr>
        <w:t>. https://www.alzheimer-europe.org/</w:t>
      </w:r>
    </w:p>
    <w:p w14:paraId="274BBA87" w14:textId="77777777" w:rsidR="00E93D92" w:rsidRPr="00E93D92" w:rsidRDefault="00E93D92" w:rsidP="00E93D92">
      <w:pPr>
        <w:spacing w:line="480" w:lineRule="auto"/>
        <w:ind w:left="720" w:hanging="720"/>
        <w:rPr>
          <w:rFonts w:ascii="Times New Roman" w:hAnsi="Times New Roman" w:cs="Times New Roman"/>
        </w:rPr>
      </w:pPr>
      <w:r w:rsidRPr="00E93D92">
        <w:rPr>
          <w:rFonts w:ascii="Times New Roman" w:hAnsi="Times New Roman" w:cs="Times New Roman"/>
        </w:rPr>
        <w:t xml:space="preserve">Batsis, J. A., DiMilia, P. R., Seo, L. M., Fortuna, K. L., Kennedy, M. A., Blunt, E., Bagley, P. J., Brooks, J., Brooks, E., Kim, S. Y., &amp; Bartels, S. J. (2021). Effectiveness of telemedicine in the care of older adults: A systematic review. </w:t>
      </w:r>
      <w:r w:rsidRPr="00E93D92">
        <w:rPr>
          <w:rFonts w:ascii="Times New Roman" w:hAnsi="Times New Roman" w:cs="Times New Roman"/>
          <w:i/>
          <w:iCs/>
        </w:rPr>
        <w:t>Journal of the American Geriatrics Society, 69</w:t>
      </w:r>
      <w:r w:rsidRPr="00E93D92">
        <w:rPr>
          <w:rFonts w:ascii="Times New Roman" w:hAnsi="Times New Roman" w:cs="Times New Roman"/>
        </w:rPr>
        <w:t>(2), 448–464. https://doi.org/10.1111/jgs.16974</w:t>
      </w:r>
    </w:p>
    <w:p w14:paraId="1F3F9A4C" w14:textId="77777777" w:rsidR="00E93D92" w:rsidRPr="00E93D92" w:rsidRDefault="00E93D92" w:rsidP="00E93D92">
      <w:pPr>
        <w:spacing w:line="480" w:lineRule="auto"/>
        <w:ind w:left="720" w:hanging="720"/>
        <w:rPr>
          <w:rFonts w:ascii="Times New Roman" w:hAnsi="Times New Roman" w:cs="Times New Roman"/>
        </w:rPr>
      </w:pPr>
      <w:r w:rsidRPr="00E93D92">
        <w:rPr>
          <w:rFonts w:ascii="Times New Roman" w:hAnsi="Times New Roman" w:cs="Times New Roman"/>
        </w:rPr>
        <w:t xml:space="preserve">European Commission. (2020). </w:t>
      </w:r>
      <w:r w:rsidRPr="00E93D92">
        <w:rPr>
          <w:rFonts w:ascii="Times New Roman" w:hAnsi="Times New Roman" w:cs="Times New Roman"/>
          <w:i/>
          <w:iCs/>
        </w:rPr>
        <w:t>The EU’s ageing report: Economic and budgetary projections for the 27 EU Member States (2019-2070)</w:t>
      </w:r>
      <w:r w:rsidRPr="00E93D92">
        <w:rPr>
          <w:rFonts w:ascii="Times New Roman" w:hAnsi="Times New Roman" w:cs="Times New Roman"/>
        </w:rPr>
        <w:t>. Publications Office of the European Union.</w:t>
      </w:r>
    </w:p>
    <w:p w14:paraId="660F1380" w14:textId="77777777" w:rsidR="00E93D92" w:rsidRPr="00E93D92" w:rsidRDefault="00E93D92" w:rsidP="00E93D92">
      <w:pPr>
        <w:spacing w:line="480" w:lineRule="auto"/>
        <w:ind w:left="720" w:hanging="720"/>
        <w:rPr>
          <w:rFonts w:ascii="Times New Roman" w:hAnsi="Times New Roman" w:cs="Times New Roman"/>
        </w:rPr>
      </w:pPr>
      <w:r w:rsidRPr="00E93D92">
        <w:rPr>
          <w:rFonts w:ascii="Times New Roman" w:hAnsi="Times New Roman" w:cs="Times New Roman"/>
        </w:rPr>
        <w:t xml:space="preserve">European Geriatric Medicine Society. (2020). </w:t>
      </w:r>
      <w:r w:rsidRPr="00E93D92">
        <w:rPr>
          <w:rFonts w:ascii="Times New Roman" w:hAnsi="Times New Roman" w:cs="Times New Roman"/>
          <w:i/>
          <w:iCs/>
        </w:rPr>
        <w:t>Position paper on dementia care in Europe</w:t>
      </w:r>
      <w:r w:rsidRPr="00E93D92">
        <w:rPr>
          <w:rFonts w:ascii="Times New Roman" w:hAnsi="Times New Roman" w:cs="Times New Roman"/>
        </w:rPr>
        <w:t>.</w:t>
      </w:r>
    </w:p>
    <w:p w14:paraId="6B6BF0AF" w14:textId="77777777" w:rsidR="00E93D92" w:rsidRPr="00E93D92" w:rsidRDefault="00E93D92" w:rsidP="00E93D92">
      <w:pPr>
        <w:spacing w:line="480" w:lineRule="auto"/>
        <w:ind w:left="720" w:hanging="720"/>
        <w:rPr>
          <w:rFonts w:ascii="Times New Roman" w:hAnsi="Times New Roman" w:cs="Times New Roman"/>
        </w:rPr>
      </w:pPr>
      <w:r w:rsidRPr="00E93D92">
        <w:rPr>
          <w:rFonts w:ascii="Times New Roman" w:hAnsi="Times New Roman" w:cs="Times New Roman"/>
        </w:rPr>
        <w:t xml:space="preserve">Eurostat. (2022). </w:t>
      </w:r>
      <w:r w:rsidRPr="00E93D92">
        <w:rPr>
          <w:rFonts w:ascii="Times New Roman" w:hAnsi="Times New Roman" w:cs="Times New Roman"/>
          <w:i/>
          <w:iCs/>
        </w:rPr>
        <w:t>Population structure and ageing</w:t>
      </w:r>
      <w:r w:rsidRPr="00E93D92">
        <w:rPr>
          <w:rFonts w:ascii="Times New Roman" w:hAnsi="Times New Roman" w:cs="Times New Roman"/>
        </w:rPr>
        <w:t>. https://ec.europa.eu/eurostat</w:t>
      </w:r>
    </w:p>
    <w:p w14:paraId="26FD6BF4" w14:textId="77777777" w:rsidR="00E93D92" w:rsidRPr="00E93D92" w:rsidRDefault="00E93D92" w:rsidP="00E93D92">
      <w:pPr>
        <w:spacing w:line="480" w:lineRule="auto"/>
        <w:ind w:left="720" w:hanging="720"/>
        <w:rPr>
          <w:rFonts w:ascii="Times New Roman" w:hAnsi="Times New Roman" w:cs="Times New Roman"/>
        </w:rPr>
      </w:pPr>
      <w:r w:rsidRPr="00E93D92">
        <w:rPr>
          <w:rFonts w:ascii="Times New Roman" w:hAnsi="Times New Roman" w:cs="Times New Roman"/>
        </w:rPr>
        <w:t xml:space="preserve">Gillespie, L. D., Robertson, M. C., Gillespie, W. J., Sherrington, C., Gates, S., Clemson, L. M., &amp; Lamb, S. E. (2012). Interventions for preventing falls in older people living in the community. </w:t>
      </w:r>
      <w:r w:rsidRPr="00E93D92">
        <w:rPr>
          <w:rFonts w:ascii="Times New Roman" w:hAnsi="Times New Roman" w:cs="Times New Roman"/>
          <w:i/>
          <w:iCs/>
        </w:rPr>
        <w:t>Cochrane Database of Systematic Reviews, 2012</w:t>
      </w:r>
      <w:r w:rsidRPr="00E93D92">
        <w:rPr>
          <w:rFonts w:ascii="Times New Roman" w:hAnsi="Times New Roman" w:cs="Times New Roman"/>
        </w:rPr>
        <w:t>(9). https://doi.org/10.1002/14651858.CD007146.pub3</w:t>
      </w:r>
    </w:p>
    <w:p w14:paraId="63232536" w14:textId="77777777" w:rsidR="00E93D92" w:rsidRPr="00E93D92" w:rsidRDefault="00E93D92" w:rsidP="00E93D92">
      <w:pPr>
        <w:spacing w:line="480" w:lineRule="auto"/>
        <w:ind w:left="720" w:hanging="720"/>
        <w:rPr>
          <w:rFonts w:ascii="Times New Roman" w:hAnsi="Times New Roman" w:cs="Times New Roman"/>
        </w:rPr>
      </w:pPr>
      <w:r w:rsidRPr="00E93D92">
        <w:rPr>
          <w:rFonts w:ascii="Times New Roman" w:hAnsi="Times New Roman" w:cs="Times New Roman"/>
        </w:rPr>
        <w:lastRenderedPageBreak/>
        <w:t xml:space="preserve">Maher, R. L., Hanlon, J., &amp; Hajjar, E. R. (2014). Clinical consequences of polypharmacy in elderly. </w:t>
      </w:r>
      <w:r w:rsidRPr="00E93D92">
        <w:rPr>
          <w:rFonts w:ascii="Times New Roman" w:hAnsi="Times New Roman" w:cs="Times New Roman"/>
          <w:i/>
          <w:iCs/>
        </w:rPr>
        <w:t>Expert Opinion on Drug Safety, 13</w:t>
      </w:r>
      <w:r w:rsidRPr="00E93D92">
        <w:rPr>
          <w:rFonts w:ascii="Times New Roman" w:hAnsi="Times New Roman" w:cs="Times New Roman"/>
        </w:rPr>
        <w:t>(1), 57–65. https://doi.org/10.1517/14740338.2013.827660</w:t>
      </w:r>
    </w:p>
    <w:p w14:paraId="565783F3" w14:textId="77777777" w:rsidR="00E93D92" w:rsidRPr="00E93D92" w:rsidRDefault="00E93D92" w:rsidP="00E93D92">
      <w:pPr>
        <w:spacing w:line="480" w:lineRule="auto"/>
        <w:ind w:left="720" w:hanging="720"/>
        <w:rPr>
          <w:rFonts w:ascii="Times New Roman" w:hAnsi="Times New Roman" w:cs="Times New Roman"/>
        </w:rPr>
      </w:pPr>
      <w:r w:rsidRPr="00E93D92">
        <w:rPr>
          <w:rFonts w:ascii="Times New Roman" w:hAnsi="Times New Roman" w:cs="Times New Roman"/>
        </w:rPr>
        <w:t xml:space="preserve">National Institute for Health and Care Excellence (NICE). (2019). </w:t>
      </w:r>
      <w:r w:rsidRPr="00E93D92">
        <w:rPr>
          <w:rFonts w:ascii="Times New Roman" w:hAnsi="Times New Roman" w:cs="Times New Roman"/>
          <w:i/>
          <w:iCs/>
        </w:rPr>
        <w:t>Multimorbidity: Clinical assessment and management (NICE guideline NG56)</w:t>
      </w:r>
      <w:r w:rsidRPr="00E93D92">
        <w:rPr>
          <w:rFonts w:ascii="Times New Roman" w:hAnsi="Times New Roman" w:cs="Times New Roman"/>
        </w:rPr>
        <w:t>.</w:t>
      </w:r>
    </w:p>
    <w:p w14:paraId="766DDA5D" w14:textId="77777777" w:rsidR="00E93D92" w:rsidRPr="00E93D92" w:rsidRDefault="00E93D92" w:rsidP="00E93D92">
      <w:pPr>
        <w:spacing w:line="480" w:lineRule="auto"/>
        <w:ind w:left="720" w:hanging="720"/>
        <w:rPr>
          <w:rFonts w:ascii="Times New Roman" w:hAnsi="Times New Roman" w:cs="Times New Roman"/>
        </w:rPr>
      </w:pPr>
      <w:r w:rsidRPr="00E93D92">
        <w:rPr>
          <w:rFonts w:ascii="Times New Roman" w:hAnsi="Times New Roman" w:cs="Times New Roman"/>
        </w:rPr>
        <w:t xml:space="preserve">Prince, M., Wu, F., Guo, Y., Gutierrez Robledo, L. M., O’Donnell, M., Sullivan, R., &amp; Yusuf, S. (2015). The burden of disease in older people and implications for health policy and practice. </w:t>
      </w:r>
      <w:r w:rsidRPr="00E93D92">
        <w:rPr>
          <w:rFonts w:ascii="Times New Roman" w:hAnsi="Times New Roman" w:cs="Times New Roman"/>
          <w:i/>
          <w:iCs/>
        </w:rPr>
        <w:t>The Lancet, 385</w:t>
      </w:r>
      <w:r w:rsidRPr="00E93D92">
        <w:rPr>
          <w:rFonts w:ascii="Times New Roman" w:hAnsi="Times New Roman" w:cs="Times New Roman"/>
        </w:rPr>
        <w:t>(9967), 549–562. https://doi.org/10.1016/S0140-6736(14)61347-7</w:t>
      </w:r>
    </w:p>
    <w:p w14:paraId="6F5F20DC" w14:textId="77777777" w:rsidR="00E93D92" w:rsidRPr="00E93D92" w:rsidRDefault="00E93D92" w:rsidP="00E93D92">
      <w:pPr>
        <w:spacing w:line="480" w:lineRule="auto"/>
        <w:ind w:left="720" w:hanging="720"/>
        <w:rPr>
          <w:rFonts w:ascii="Times New Roman" w:hAnsi="Times New Roman" w:cs="Times New Roman"/>
        </w:rPr>
      </w:pPr>
      <w:r w:rsidRPr="00E93D92">
        <w:rPr>
          <w:rFonts w:ascii="Times New Roman" w:hAnsi="Times New Roman" w:cs="Times New Roman"/>
        </w:rPr>
        <w:t xml:space="preserve">Sjögren, H., &amp; </w:t>
      </w:r>
      <w:proofErr w:type="spellStart"/>
      <w:r w:rsidRPr="00E93D92">
        <w:rPr>
          <w:rFonts w:ascii="Times New Roman" w:hAnsi="Times New Roman" w:cs="Times New Roman"/>
        </w:rPr>
        <w:t>Björnstig</w:t>
      </w:r>
      <w:proofErr w:type="spellEnd"/>
      <w:r w:rsidRPr="00E93D92">
        <w:rPr>
          <w:rFonts w:ascii="Times New Roman" w:hAnsi="Times New Roman" w:cs="Times New Roman"/>
        </w:rPr>
        <w:t xml:space="preserve">, U. (2020). Fall prevention in Sweden: Outcomes of community programmes. </w:t>
      </w:r>
      <w:r w:rsidRPr="00E93D92">
        <w:rPr>
          <w:rFonts w:ascii="Times New Roman" w:hAnsi="Times New Roman" w:cs="Times New Roman"/>
          <w:i/>
          <w:iCs/>
        </w:rPr>
        <w:t>Scandinavian Journal of Public Health, 48</w:t>
      </w:r>
      <w:r w:rsidRPr="00E93D92">
        <w:rPr>
          <w:rFonts w:ascii="Times New Roman" w:hAnsi="Times New Roman" w:cs="Times New Roman"/>
        </w:rPr>
        <w:t>(1), 85–92. https://doi.org/10.1177/1403494819867430</w:t>
      </w:r>
    </w:p>
    <w:p w14:paraId="2F7C9A86" w14:textId="77777777" w:rsidR="00E93D92" w:rsidRPr="00E93D92" w:rsidRDefault="00E93D92" w:rsidP="00E93D92">
      <w:pPr>
        <w:spacing w:line="480" w:lineRule="auto"/>
        <w:ind w:left="720" w:hanging="720"/>
        <w:rPr>
          <w:rFonts w:ascii="Times New Roman" w:hAnsi="Times New Roman" w:cs="Times New Roman"/>
        </w:rPr>
      </w:pPr>
      <w:r w:rsidRPr="00E93D92">
        <w:rPr>
          <w:rFonts w:ascii="Times New Roman" w:hAnsi="Times New Roman" w:cs="Times New Roman"/>
        </w:rPr>
        <w:t xml:space="preserve">The Lancet Public Health. (2019). Multimorbidity and ageing: A European challenge. </w:t>
      </w:r>
      <w:r w:rsidRPr="00E93D92">
        <w:rPr>
          <w:rFonts w:ascii="Times New Roman" w:hAnsi="Times New Roman" w:cs="Times New Roman"/>
          <w:i/>
          <w:iCs/>
        </w:rPr>
        <w:t>The Lancet Public Health, 4</w:t>
      </w:r>
      <w:r w:rsidRPr="00E93D92">
        <w:rPr>
          <w:rFonts w:ascii="Times New Roman" w:hAnsi="Times New Roman" w:cs="Times New Roman"/>
        </w:rPr>
        <w:t>(8), e511. https://doi.org/10.1016/S2468-2667(19)30160-0</w:t>
      </w:r>
    </w:p>
    <w:p w14:paraId="787D7D8C" w14:textId="4F746891" w:rsidR="00E93D92" w:rsidRDefault="00E93D92" w:rsidP="00E93D92">
      <w:pPr>
        <w:spacing w:line="480" w:lineRule="auto"/>
        <w:ind w:left="720" w:hanging="720"/>
        <w:rPr>
          <w:rFonts w:ascii="Times New Roman" w:hAnsi="Times New Roman" w:cs="Times New Roman"/>
        </w:rPr>
      </w:pPr>
      <w:r w:rsidRPr="00E93D92">
        <w:rPr>
          <w:rFonts w:ascii="Times New Roman" w:hAnsi="Times New Roman" w:cs="Times New Roman"/>
        </w:rPr>
        <w:t xml:space="preserve">World Health Organization (WHO). (2021). </w:t>
      </w:r>
      <w:r w:rsidRPr="00E93D92">
        <w:rPr>
          <w:rFonts w:ascii="Times New Roman" w:hAnsi="Times New Roman" w:cs="Times New Roman"/>
          <w:i/>
          <w:iCs/>
        </w:rPr>
        <w:t>Decade of Healthy Ageing: Baseline Report</w:t>
      </w:r>
      <w:r w:rsidRPr="00E93D92">
        <w:rPr>
          <w:rFonts w:ascii="Times New Roman" w:hAnsi="Times New Roman" w:cs="Times New Roman"/>
        </w:rPr>
        <w:t>. WHO.</w:t>
      </w:r>
    </w:p>
    <w:p w14:paraId="2D9CBA8C" w14:textId="12CC7BF0" w:rsidR="0037659A" w:rsidRPr="00294490" w:rsidRDefault="00294490" w:rsidP="00E93D92">
      <w:pPr>
        <w:spacing w:line="480" w:lineRule="auto"/>
        <w:ind w:left="720" w:hanging="720"/>
        <w:rPr>
          <w:rFonts w:ascii="Times New Roman" w:hAnsi="Times New Roman" w:cs="Times New Roman"/>
          <w:b/>
          <w:bCs/>
        </w:rPr>
      </w:pPr>
      <w:r w:rsidRPr="00294490">
        <w:rPr>
          <w:rFonts w:ascii="Times New Roman" w:hAnsi="Times New Roman" w:cs="Times New Roman"/>
          <w:b/>
          <w:bCs/>
        </w:rPr>
        <w:t>Next Steps</w:t>
      </w:r>
    </w:p>
    <w:p w14:paraId="6969F21F" w14:textId="5A2E406E" w:rsidR="0037659A" w:rsidRPr="0037659A" w:rsidRDefault="0037659A" w:rsidP="0037659A">
      <w:pPr>
        <w:spacing w:before="100" w:beforeAutospacing="1" w:after="100" w:afterAutospacing="1" w:line="240" w:lineRule="auto"/>
        <w:rPr>
          <w:rFonts w:ascii="Times New Roman" w:eastAsia="Times New Roman" w:hAnsi="Times New Roman" w:cs="Times New Roman"/>
          <w:kern w:val="0"/>
          <w:lang w:eastAsia="en-KE"/>
          <w14:ligatures w14:val="none"/>
        </w:rPr>
      </w:pPr>
      <w:r w:rsidRPr="0037659A">
        <w:rPr>
          <w:rFonts w:ascii="Times New Roman" w:eastAsia="Times New Roman" w:hAnsi="Times New Roman" w:cs="Times New Roman"/>
          <w:kern w:val="0"/>
          <w:lang w:eastAsia="en-KE"/>
          <w14:ligatures w14:val="none"/>
        </w:rPr>
        <w:t>If you found this sample valuable and would like expert support with your nursing assignments, dissertations, or NCLEX preparation, you can reach out directly:</w:t>
      </w:r>
    </w:p>
    <w:p w14:paraId="207A6F06" w14:textId="6112D56D" w:rsidR="0037659A" w:rsidRPr="0037659A" w:rsidRDefault="0037659A" w:rsidP="0037659A">
      <w:pPr>
        <w:spacing w:before="100" w:beforeAutospacing="1" w:after="100" w:afterAutospacing="1" w:line="240" w:lineRule="auto"/>
        <w:rPr>
          <w:rFonts w:ascii="Times New Roman" w:eastAsia="Times New Roman" w:hAnsi="Times New Roman" w:cs="Times New Roman"/>
          <w:kern w:val="0"/>
          <w:lang w:eastAsia="en-KE"/>
          <w14:ligatures w14:val="none"/>
        </w:rPr>
      </w:pPr>
      <w:r w:rsidRPr="0037659A">
        <w:rPr>
          <w:rFonts w:ascii="Segoe UI Emoji" w:eastAsia="Times New Roman" w:hAnsi="Segoe UI Emoji" w:cs="Segoe UI Emoji"/>
          <w:kern w:val="0"/>
          <w:lang w:eastAsia="en-KE"/>
          <w14:ligatures w14:val="none"/>
        </w:rPr>
        <w:t>📞</w:t>
      </w:r>
      <w:r w:rsidRPr="0037659A">
        <w:rPr>
          <w:rFonts w:ascii="Times New Roman" w:eastAsia="Times New Roman" w:hAnsi="Times New Roman" w:cs="Times New Roman"/>
          <w:kern w:val="0"/>
          <w:lang w:eastAsia="en-KE"/>
          <w14:ligatures w14:val="none"/>
        </w:rPr>
        <w:t xml:space="preserve"> </w:t>
      </w:r>
      <w:r w:rsidRPr="0037659A">
        <w:rPr>
          <w:rFonts w:ascii="Times New Roman" w:eastAsia="Times New Roman" w:hAnsi="Times New Roman" w:cs="Times New Roman"/>
          <w:b/>
          <w:bCs/>
          <w:kern w:val="0"/>
          <w:lang w:eastAsia="en-KE"/>
          <w14:ligatures w14:val="none"/>
        </w:rPr>
        <w:t>Discuss your project on WhatsApp:</w:t>
      </w:r>
      <w:r w:rsidRPr="0037659A">
        <w:rPr>
          <w:rFonts w:ascii="Times New Roman" w:eastAsia="Times New Roman" w:hAnsi="Times New Roman" w:cs="Times New Roman"/>
          <w:kern w:val="0"/>
          <w:lang w:eastAsia="en-KE"/>
          <w14:ligatures w14:val="none"/>
        </w:rPr>
        <w:br/>
      </w:r>
      <w:hyperlink r:id="rId6" w:history="1">
        <w:r w:rsidRPr="0037659A">
          <w:rPr>
            <w:rStyle w:val="Hyperlink"/>
            <w:rFonts w:ascii="Times New Roman" w:eastAsia="Times New Roman" w:hAnsi="Times New Roman" w:cs="Times New Roman"/>
            <w:kern w:val="0"/>
            <w:lang w:eastAsia="en-KE"/>
            <w14:ligatures w14:val="none"/>
          </w:rPr>
          <w:t>Click here to message Tutor Sebastian on WhatsApp</w:t>
        </w:r>
      </w:hyperlink>
    </w:p>
    <w:p w14:paraId="1401F1E7" w14:textId="77777777" w:rsidR="0037659A" w:rsidRPr="0037659A" w:rsidRDefault="0037659A" w:rsidP="0037659A">
      <w:pPr>
        <w:spacing w:before="100" w:beforeAutospacing="1" w:after="100" w:afterAutospacing="1" w:line="240" w:lineRule="auto"/>
        <w:rPr>
          <w:rFonts w:ascii="Times New Roman" w:eastAsia="Times New Roman" w:hAnsi="Times New Roman" w:cs="Times New Roman"/>
          <w:kern w:val="0"/>
          <w:lang w:eastAsia="en-KE"/>
          <w14:ligatures w14:val="none"/>
        </w:rPr>
      </w:pPr>
      <w:r w:rsidRPr="0037659A">
        <w:rPr>
          <w:rFonts w:ascii="Segoe UI Emoji" w:eastAsia="Times New Roman" w:hAnsi="Segoe UI Emoji" w:cs="Segoe UI Emoji"/>
          <w:kern w:val="0"/>
          <w:lang w:eastAsia="en-KE"/>
          <w14:ligatures w14:val="none"/>
        </w:rPr>
        <w:t>🌐</w:t>
      </w:r>
      <w:r w:rsidRPr="0037659A">
        <w:rPr>
          <w:rFonts w:ascii="Times New Roman" w:eastAsia="Times New Roman" w:hAnsi="Times New Roman" w:cs="Times New Roman"/>
          <w:kern w:val="0"/>
          <w:lang w:eastAsia="en-KE"/>
          <w14:ligatures w14:val="none"/>
        </w:rPr>
        <w:t xml:space="preserve"> </w:t>
      </w:r>
      <w:r w:rsidRPr="0037659A">
        <w:rPr>
          <w:rFonts w:ascii="Times New Roman" w:eastAsia="Times New Roman" w:hAnsi="Times New Roman" w:cs="Times New Roman"/>
          <w:b/>
          <w:bCs/>
          <w:kern w:val="0"/>
          <w:lang w:eastAsia="en-KE"/>
          <w14:ligatures w14:val="none"/>
        </w:rPr>
        <w:t>Learn more about our services:</w:t>
      </w:r>
      <w:r w:rsidRPr="0037659A">
        <w:rPr>
          <w:rFonts w:ascii="Times New Roman" w:eastAsia="Times New Roman" w:hAnsi="Times New Roman" w:cs="Times New Roman"/>
          <w:kern w:val="0"/>
          <w:lang w:eastAsia="en-KE"/>
          <w14:ligatures w14:val="none"/>
        </w:rPr>
        <w:br/>
      </w:r>
      <w:hyperlink r:id="rId7" w:tgtFrame="_new" w:history="1">
        <w:r w:rsidRPr="0037659A">
          <w:rPr>
            <w:rFonts w:ascii="Times New Roman" w:eastAsia="Times New Roman" w:hAnsi="Times New Roman" w:cs="Times New Roman"/>
            <w:color w:val="0000FF"/>
            <w:kern w:val="0"/>
            <w:u w:val="single"/>
            <w:lang w:eastAsia="en-KE"/>
            <w14:ligatures w14:val="none"/>
          </w:rPr>
          <w:t>Visit NurseTutor.org</w:t>
        </w:r>
      </w:hyperlink>
    </w:p>
    <w:p w14:paraId="29A9F1A7" w14:textId="77777777" w:rsidR="0037659A" w:rsidRPr="0037659A" w:rsidRDefault="0037659A" w:rsidP="0037659A">
      <w:pPr>
        <w:spacing w:before="100" w:beforeAutospacing="1" w:after="100" w:afterAutospacing="1" w:line="240" w:lineRule="auto"/>
        <w:rPr>
          <w:rFonts w:ascii="Times New Roman" w:eastAsia="Times New Roman" w:hAnsi="Times New Roman" w:cs="Times New Roman"/>
          <w:kern w:val="0"/>
          <w:lang w:eastAsia="en-KE"/>
          <w14:ligatures w14:val="none"/>
        </w:rPr>
      </w:pPr>
      <w:r w:rsidRPr="0037659A">
        <w:rPr>
          <w:rFonts w:ascii="Times New Roman" w:eastAsia="Times New Roman" w:hAnsi="Times New Roman" w:cs="Times New Roman"/>
          <w:kern w:val="0"/>
          <w:lang w:eastAsia="en-KE"/>
          <w14:ligatures w14:val="none"/>
        </w:rPr>
        <w:t>With tailored academic support, you can move from struggling to excelling with confidence.</w:t>
      </w:r>
    </w:p>
    <w:p w14:paraId="1ED80F9B" w14:textId="77777777" w:rsidR="0037659A" w:rsidRPr="00E93D92" w:rsidRDefault="0037659A" w:rsidP="0037659A">
      <w:pPr>
        <w:spacing w:line="480" w:lineRule="auto"/>
        <w:rPr>
          <w:rFonts w:ascii="Times New Roman" w:hAnsi="Times New Roman" w:cs="Times New Roman"/>
        </w:rPr>
      </w:pPr>
    </w:p>
    <w:sectPr w:rsidR="0037659A" w:rsidRPr="00E93D9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DB6F0" w14:textId="77777777" w:rsidR="005A56E0" w:rsidRDefault="005A56E0" w:rsidP="00E93D92">
      <w:pPr>
        <w:spacing w:after="0" w:line="240" w:lineRule="auto"/>
      </w:pPr>
      <w:r>
        <w:separator/>
      </w:r>
    </w:p>
  </w:endnote>
  <w:endnote w:type="continuationSeparator" w:id="0">
    <w:p w14:paraId="23C16680" w14:textId="77777777" w:rsidR="005A56E0" w:rsidRDefault="005A56E0" w:rsidP="00E9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B44DD" w14:textId="77777777" w:rsidR="005A56E0" w:rsidRDefault="005A56E0" w:rsidP="00E93D92">
      <w:pPr>
        <w:spacing w:after="0" w:line="240" w:lineRule="auto"/>
      </w:pPr>
      <w:r>
        <w:separator/>
      </w:r>
    </w:p>
  </w:footnote>
  <w:footnote w:type="continuationSeparator" w:id="0">
    <w:p w14:paraId="5F2382F0" w14:textId="77777777" w:rsidR="005A56E0" w:rsidRDefault="005A56E0" w:rsidP="00E93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989210"/>
      <w:docPartObj>
        <w:docPartGallery w:val="Page Numbers (Top of Page)"/>
        <w:docPartUnique/>
      </w:docPartObj>
    </w:sdtPr>
    <w:sdtEndPr>
      <w:rPr>
        <w:noProof/>
      </w:rPr>
    </w:sdtEndPr>
    <w:sdtContent>
      <w:p w14:paraId="75234E34" w14:textId="42F488B4" w:rsidR="00E93D92" w:rsidRDefault="00E93D9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014387" w14:textId="77777777" w:rsidR="00E93D92" w:rsidRDefault="00E93D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23"/>
    <w:rsid w:val="00294490"/>
    <w:rsid w:val="002B583E"/>
    <w:rsid w:val="0037659A"/>
    <w:rsid w:val="005A56E0"/>
    <w:rsid w:val="00947F23"/>
    <w:rsid w:val="00E93D92"/>
    <w:rsid w:val="00E9653E"/>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7DB9"/>
  <w15:chartTrackingRefBased/>
  <w15:docId w15:val="{F2A5BA79-7583-4B78-B037-2B7EDE35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K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F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7F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7F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7F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7F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7F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F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F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F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F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7F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7F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7F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7F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7F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F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F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F23"/>
    <w:rPr>
      <w:rFonts w:eastAsiaTheme="majorEastAsia" w:cstheme="majorBidi"/>
      <w:color w:val="272727" w:themeColor="text1" w:themeTint="D8"/>
    </w:rPr>
  </w:style>
  <w:style w:type="paragraph" w:styleId="Title">
    <w:name w:val="Title"/>
    <w:basedOn w:val="Normal"/>
    <w:next w:val="Normal"/>
    <w:link w:val="TitleChar"/>
    <w:uiPriority w:val="10"/>
    <w:qFormat/>
    <w:rsid w:val="00947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F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F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F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F23"/>
    <w:pPr>
      <w:spacing w:before="160"/>
      <w:jc w:val="center"/>
    </w:pPr>
    <w:rPr>
      <w:i/>
      <w:iCs/>
      <w:color w:val="404040" w:themeColor="text1" w:themeTint="BF"/>
    </w:rPr>
  </w:style>
  <w:style w:type="character" w:customStyle="1" w:styleId="QuoteChar">
    <w:name w:val="Quote Char"/>
    <w:basedOn w:val="DefaultParagraphFont"/>
    <w:link w:val="Quote"/>
    <w:uiPriority w:val="29"/>
    <w:rsid w:val="00947F23"/>
    <w:rPr>
      <w:i/>
      <w:iCs/>
      <w:color w:val="404040" w:themeColor="text1" w:themeTint="BF"/>
    </w:rPr>
  </w:style>
  <w:style w:type="paragraph" w:styleId="ListParagraph">
    <w:name w:val="List Paragraph"/>
    <w:basedOn w:val="Normal"/>
    <w:uiPriority w:val="34"/>
    <w:qFormat/>
    <w:rsid w:val="00947F23"/>
    <w:pPr>
      <w:ind w:left="720"/>
      <w:contextualSpacing/>
    </w:pPr>
  </w:style>
  <w:style w:type="character" w:styleId="IntenseEmphasis">
    <w:name w:val="Intense Emphasis"/>
    <w:basedOn w:val="DefaultParagraphFont"/>
    <w:uiPriority w:val="21"/>
    <w:qFormat/>
    <w:rsid w:val="00947F23"/>
    <w:rPr>
      <w:i/>
      <w:iCs/>
      <w:color w:val="2F5496" w:themeColor="accent1" w:themeShade="BF"/>
    </w:rPr>
  </w:style>
  <w:style w:type="paragraph" w:styleId="IntenseQuote">
    <w:name w:val="Intense Quote"/>
    <w:basedOn w:val="Normal"/>
    <w:next w:val="Normal"/>
    <w:link w:val="IntenseQuoteChar"/>
    <w:uiPriority w:val="30"/>
    <w:qFormat/>
    <w:rsid w:val="00947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7F23"/>
    <w:rPr>
      <w:i/>
      <w:iCs/>
      <w:color w:val="2F5496" w:themeColor="accent1" w:themeShade="BF"/>
    </w:rPr>
  </w:style>
  <w:style w:type="character" w:styleId="IntenseReference">
    <w:name w:val="Intense Reference"/>
    <w:basedOn w:val="DefaultParagraphFont"/>
    <w:uiPriority w:val="32"/>
    <w:qFormat/>
    <w:rsid w:val="00947F23"/>
    <w:rPr>
      <w:b/>
      <w:bCs/>
      <w:smallCaps/>
      <w:color w:val="2F5496" w:themeColor="accent1" w:themeShade="BF"/>
      <w:spacing w:val="5"/>
    </w:rPr>
  </w:style>
  <w:style w:type="character" w:styleId="Hyperlink">
    <w:name w:val="Hyperlink"/>
    <w:basedOn w:val="DefaultParagraphFont"/>
    <w:uiPriority w:val="99"/>
    <w:unhideWhenUsed/>
    <w:rsid w:val="00947F23"/>
    <w:rPr>
      <w:color w:val="0563C1" w:themeColor="hyperlink"/>
      <w:u w:val="single"/>
    </w:rPr>
  </w:style>
  <w:style w:type="character" w:styleId="UnresolvedMention">
    <w:name w:val="Unresolved Mention"/>
    <w:basedOn w:val="DefaultParagraphFont"/>
    <w:uiPriority w:val="99"/>
    <w:semiHidden/>
    <w:unhideWhenUsed/>
    <w:rsid w:val="00947F23"/>
    <w:rPr>
      <w:color w:val="605E5C"/>
      <w:shd w:val="clear" w:color="auto" w:fill="E1DFDD"/>
    </w:rPr>
  </w:style>
  <w:style w:type="paragraph" w:styleId="Header">
    <w:name w:val="header"/>
    <w:basedOn w:val="Normal"/>
    <w:link w:val="HeaderChar"/>
    <w:uiPriority w:val="99"/>
    <w:unhideWhenUsed/>
    <w:rsid w:val="00E93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D92"/>
  </w:style>
  <w:style w:type="paragraph" w:styleId="Footer">
    <w:name w:val="footer"/>
    <w:basedOn w:val="Normal"/>
    <w:link w:val="FooterChar"/>
    <w:uiPriority w:val="99"/>
    <w:unhideWhenUsed/>
    <w:rsid w:val="00E93D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ursetutor.org?utm_source=chatgp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me/254707856930?text=Hello+Tutor+Sebastian,+I'm+interested+in+nursing+academic+support.+Can+you+help?&amp;utm_source=chatgp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Mutembei</dc:creator>
  <cp:keywords/>
  <dc:description/>
  <cp:lastModifiedBy>alicia Mutembei</cp:lastModifiedBy>
  <cp:revision>3</cp:revision>
  <dcterms:created xsi:type="dcterms:W3CDTF">2025-09-02T14:20:00Z</dcterms:created>
  <dcterms:modified xsi:type="dcterms:W3CDTF">2025-09-05T06:55:00Z</dcterms:modified>
</cp:coreProperties>
</file>